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0"/>
        <w:gridCol w:w="4640"/>
      </w:tblGrid>
      <w:tr w:rsidR="0035306C" w:rsidRPr="008D31E9" w14:paraId="26E85FC4" w14:textId="77777777" w:rsidTr="0035306C">
        <w:tc>
          <w:tcPr>
            <w:tcW w:w="5395" w:type="dxa"/>
          </w:tcPr>
          <w:p w14:paraId="61F1D41F" w14:textId="13870129" w:rsidR="0035306C" w:rsidRPr="008D31E9" w:rsidRDefault="0035306C">
            <w:r w:rsidRPr="008D31E9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198A09B8" w:rsidR="0035306C" w:rsidRPr="008D31E9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bookmarkStart w:id="0" w:name="_GoBack"/>
            <w:bookmarkEnd w:id="0"/>
            <w:r w:rsidRPr="008D31E9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:rsidRPr="008D31E9" w14:paraId="604F2EE2" w14:textId="77777777" w:rsidTr="0035306C">
        <w:tc>
          <w:tcPr>
            <w:tcW w:w="5395" w:type="dxa"/>
          </w:tcPr>
          <w:p w14:paraId="79837E1F" w14:textId="77777777" w:rsidR="0035306C" w:rsidRPr="008D31E9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8D31E9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8D31E9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4AEF4139" w:rsidR="0035306C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8D31E9">
              <w:rPr>
                <w:rFonts w:ascii="Sylfaen" w:eastAsia="Sylfaen" w:hAnsi="Sylfaen" w:cs="Sylfaen"/>
                <w:color w:val="000000"/>
                <w:lang w:val="ka-GE"/>
              </w:rPr>
              <w:t xml:space="preserve">        </w:t>
            </w:r>
            <w:r w:rsidRPr="008D31E9">
              <w:rPr>
                <w:rFonts w:ascii="Sylfaen" w:eastAsia="Sylfaen" w:hAnsi="Sylfaen" w:cs="Sylfaen"/>
                <w:b/>
                <w:color w:val="000000"/>
                <w:lang w:val="ka-GE"/>
              </w:rPr>
              <w:t>ნ</w:t>
            </w:r>
            <w:r w:rsidRPr="008D31E9">
              <w:rPr>
                <w:rFonts w:ascii="Sylfaen" w:eastAsia="Sylfaen" w:hAnsi="Sylfaen" w:cs="Sylfaen"/>
                <w:b/>
                <w:color w:val="000000"/>
              </w:rPr>
              <w:t>ომერი:</w:t>
            </w:r>
            <w:r w:rsidRPr="008D31E9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="00B60EAC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ZIC-NURSE-SOP- </w:t>
            </w:r>
            <w:r w:rsidR="00DB4F29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N 00-06</w:t>
            </w:r>
          </w:p>
          <w:p w14:paraId="4194805F" w14:textId="58518571" w:rsidR="00B60EAC" w:rsidRPr="00B60EAC" w:rsidRDefault="00B60EA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>
              <w:rPr>
                <w:rFonts w:ascii="Sylfaen" w:eastAsia="Sylfaen" w:hAnsi="Sylfaen" w:cs="Sylfaen"/>
                <w:b/>
                <w:color w:val="000000"/>
                <w:lang w:val="ka-GE"/>
              </w:rPr>
              <w:t>გუ   დასახელება:</w:t>
            </w:r>
            <w:r>
              <w:rPr>
                <w:rFonts w:ascii="Sylfaen" w:eastAsia="Sylfaen" w:hAnsi="Sylfaen" w:cs="Sylfaen"/>
                <w:color w:val="000000"/>
                <w:lang w:val="ka-GE"/>
              </w:rPr>
              <w:t xml:space="preserve"> გულყრის თავიდან აცილების პროვცედურა</w:t>
            </w:r>
          </w:p>
          <w:p w14:paraId="774DD08A" w14:textId="463BC3EC" w:rsidR="0035306C" w:rsidRPr="008D31E9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</w:rPr>
            </w:pPr>
            <w:r w:rsidRPr="008D31E9">
              <w:rPr>
                <w:rFonts w:ascii="Sylfaen" w:eastAsia="Sylfaen" w:hAnsi="Sylfaen" w:cs="Sylfaen"/>
                <w:b/>
                <w:color w:val="000000"/>
              </w:rPr>
              <w:t>დამტკიცებულია</w:t>
            </w:r>
            <w:r w:rsidRPr="008D31E9">
              <w:rPr>
                <w:rFonts w:ascii="Sylfaen" w:eastAsia="Sylfaen" w:hAnsi="Sylfaen" w:cs="Sylfaen"/>
                <w:b/>
                <w:color w:val="000000"/>
                <w:vertAlign w:val="superscript"/>
              </w:rPr>
              <w:t xml:space="preserve"> </w:t>
            </w:r>
            <w:r w:rsidRPr="008D31E9">
              <w:rPr>
                <w:rFonts w:ascii="Sylfaen" w:eastAsia="Sylfaen" w:hAnsi="Sylfaen" w:cs="Sylfaen"/>
                <w:b/>
                <w:color w:val="000000"/>
              </w:rPr>
              <w:t>:</w:t>
            </w:r>
            <w:r w:rsidRPr="008D31E9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8D31E9">
              <w:rPr>
                <w:rFonts w:ascii="Sylfaen" w:eastAsia="Sylfaen" w:hAnsi="Sylfaen" w:cs="Sylfaen"/>
                <w:color w:val="000000"/>
                <w:lang w:val="ka-GE"/>
              </w:rPr>
              <w:t>10/11/</w:t>
            </w:r>
            <w:r w:rsidRPr="008D31E9">
              <w:rPr>
                <w:rFonts w:ascii="Sylfaen" w:eastAsia="Sylfaen" w:hAnsi="Sylfaen" w:cs="Sylfaen"/>
                <w:color w:val="000000"/>
              </w:rPr>
              <w:t xml:space="preserve"> 20</w:t>
            </w:r>
            <w:r w:rsidRPr="008D31E9">
              <w:rPr>
                <w:rFonts w:ascii="Sylfaen" w:eastAsia="Sylfaen" w:hAnsi="Sylfaen" w:cs="Sylfaen"/>
                <w:color w:val="000000"/>
                <w:lang w:val="ka-GE"/>
              </w:rPr>
              <w:t>20</w:t>
            </w:r>
            <w:r w:rsidRPr="008D31E9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7F46333E" w14:textId="77777777" w:rsidR="0035306C" w:rsidRPr="008D31E9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</w:rPr>
            </w:pPr>
            <w:r w:rsidRPr="008D31E9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8D31E9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8D31E9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8D31E9">
              <w:rPr>
                <w:rFonts w:ascii="Sylfaen" w:eastAsia="Sylfaen" w:hAnsi="Sylfaen" w:cs="Sylfaen"/>
                <w:color w:val="000000"/>
                <w:lang w:val="ka-GE"/>
              </w:rPr>
              <w:t>10/04/</w:t>
            </w:r>
            <w:r w:rsidRPr="008D31E9">
              <w:rPr>
                <w:rFonts w:ascii="Sylfaen" w:eastAsia="Sylfaen" w:hAnsi="Sylfaen" w:cs="Sylfaen"/>
                <w:color w:val="000000"/>
              </w:rPr>
              <w:t>202</w:t>
            </w:r>
            <w:r w:rsidRPr="008D31E9">
              <w:rPr>
                <w:rFonts w:ascii="Sylfaen" w:eastAsia="Sylfaen" w:hAnsi="Sylfaen" w:cs="Sylfaen"/>
                <w:color w:val="000000"/>
                <w:lang w:val="ka-GE"/>
              </w:rPr>
              <w:t>4</w:t>
            </w:r>
            <w:r w:rsidRPr="008D31E9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3BAE9827" w14:textId="4328CE21" w:rsidR="0035306C" w:rsidRPr="008D31E9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8D31E9">
              <w:rPr>
                <w:rFonts w:ascii="Sylfaen" w:eastAsia="Sylfaen" w:hAnsi="Sylfaen" w:cs="Sylfaen"/>
                <w:b/>
                <w:color w:val="000000"/>
                <w:lang w:val="ka-GE"/>
              </w:rPr>
              <w:t>ავტორი</w:t>
            </w:r>
            <w:r w:rsidRPr="008D31E9">
              <w:rPr>
                <w:rFonts w:ascii="Sylfaen" w:eastAsia="Sylfaen" w:hAnsi="Sylfaen" w:cs="Sylfaen"/>
                <w:b/>
                <w:color w:val="000000"/>
              </w:rPr>
              <w:t xml:space="preserve">: </w:t>
            </w:r>
            <w:r w:rsidRPr="008D31E9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8D31E9" w:rsidRDefault="0035306C" w:rsidP="00BE5526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8D31E9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8D31E9" w:rsidRDefault="0035306C" w:rsidP="00BE5526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8D31E9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0CD5E46A" w:rsidR="0035306C" w:rsidRPr="008D31E9" w:rsidRDefault="0035306C" w:rsidP="00BE5526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8D31E9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8D31E9">
              <w:rPr>
                <w:rFonts w:ascii="Sylfaen" w:eastAsia="Calibri" w:hAnsi="Sylfaen" w:cs="Sylfaen"/>
                <w:b/>
              </w:rPr>
              <w:t xml:space="preserve"> </w:t>
            </w:r>
            <w:r w:rsidRPr="008D31E9">
              <w:rPr>
                <w:rFonts w:ascii="Sylfaen" w:eastAsia="Calibri" w:hAnsi="Sylfaen" w:cs="Sylfaen"/>
                <w:b/>
                <w:lang w:val="ka-GE"/>
              </w:rPr>
              <w:t>მიერ</w:t>
            </w:r>
            <w:r w:rsidR="00B60EAC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63B98175" w14:textId="65E6BBE4" w:rsidR="00343918" w:rsidRPr="008D31E9" w:rsidRDefault="00DB4F29"/>
    <w:p w14:paraId="400DD3D4" w14:textId="77777777" w:rsidR="00E73150" w:rsidRPr="008D31E9" w:rsidRDefault="00E73150" w:rsidP="00E73150">
      <w:pPr>
        <w:jc w:val="center"/>
        <w:rPr>
          <w:rFonts w:ascii="Sylfaen" w:hAnsi="Sylfaen"/>
          <w:b/>
          <w:bCs/>
          <w:color w:val="000000"/>
          <w:lang w:val="ka-GE"/>
        </w:rPr>
      </w:pPr>
      <w:r w:rsidRPr="008D31E9">
        <w:rPr>
          <w:rFonts w:ascii="Sylfaen" w:hAnsi="Sylfaen"/>
          <w:b/>
          <w:bCs/>
          <w:color w:val="000000"/>
          <w:lang w:val="ka-GE"/>
        </w:rPr>
        <w:t>გულყრის თავიდან აცილების პროცედურა</w:t>
      </w:r>
    </w:p>
    <w:p w14:paraId="6D843225" w14:textId="77777777" w:rsidR="00E73150" w:rsidRPr="008D31E9" w:rsidRDefault="00E73150" w:rsidP="00E73150">
      <w:pPr>
        <w:spacing w:line="360" w:lineRule="auto"/>
        <w:jc w:val="center"/>
        <w:rPr>
          <w:rFonts w:ascii="Sylfaen" w:hAnsi="Sylfaen" w:cs="AcadNusx"/>
          <w:color w:val="000000"/>
          <w:lang w:val="ka-GE"/>
        </w:rPr>
      </w:pPr>
      <w:r w:rsidRPr="008D31E9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</w:p>
    <w:p w14:paraId="0384B63F" w14:textId="77777777" w:rsidR="00E73150" w:rsidRPr="008D31E9" w:rsidRDefault="00E73150" w:rsidP="00E73150">
      <w:pPr>
        <w:spacing w:line="360" w:lineRule="auto"/>
        <w:jc w:val="center"/>
        <w:rPr>
          <w:rFonts w:ascii="Sylfaen" w:hAnsi="Sylfaen" w:cs="AcadNusx"/>
          <w:color w:val="000000"/>
          <w:lang w:val="ka-GE"/>
        </w:rPr>
      </w:pPr>
    </w:p>
    <w:p w14:paraId="15504BA8" w14:textId="77777777" w:rsidR="00E73150" w:rsidRPr="008D31E9" w:rsidRDefault="00E73150" w:rsidP="00E73150">
      <w:pPr>
        <w:numPr>
          <w:ilvl w:val="0"/>
          <w:numId w:val="5"/>
        </w:numPr>
        <w:rPr>
          <w:rFonts w:ascii="Sylfaen" w:hAnsi="Sylfaen"/>
          <w:b/>
          <w:color w:val="000000"/>
          <w:lang w:val="ka-GE"/>
        </w:rPr>
      </w:pPr>
      <w:r w:rsidRPr="008D31E9">
        <w:rPr>
          <w:rFonts w:ascii="Sylfaen" w:hAnsi="Sylfaen" w:cs="AcadNusx"/>
          <w:b/>
          <w:color w:val="000000"/>
          <w:lang w:val="ka-GE"/>
        </w:rPr>
        <w:t>მიზანი</w:t>
      </w:r>
    </w:p>
    <w:p w14:paraId="44732B6C" w14:textId="77777777" w:rsidR="00E73150" w:rsidRPr="008D31E9" w:rsidRDefault="00E73150" w:rsidP="00E73150">
      <w:pPr>
        <w:ind w:left="720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გულყრით მიმდინარე დაავადებების მქონე პაციენტებში დაზიანების პრევენცია ან მინიმუმამდე დაყვანა</w:t>
      </w:r>
    </w:p>
    <w:p w14:paraId="11559B57" w14:textId="77777777" w:rsidR="00E73150" w:rsidRPr="008D31E9" w:rsidRDefault="00E73150" w:rsidP="00E73150">
      <w:pPr>
        <w:ind w:left="720"/>
        <w:rPr>
          <w:rFonts w:ascii="Sylfaen" w:hAnsi="Sylfaen"/>
          <w:b/>
          <w:color w:val="000000"/>
          <w:lang w:val="ka-GE"/>
        </w:rPr>
      </w:pPr>
    </w:p>
    <w:p w14:paraId="1C350890" w14:textId="77777777" w:rsidR="00E73150" w:rsidRPr="008D31E9" w:rsidRDefault="00E73150" w:rsidP="00E73150">
      <w:pPr>
        <w:numPr>
          <w:ilvl w:val="0"/>
          <w:numId w:val="5"/>
        </w:numPr>
        <w:rPr>
          <w:rFonts w:ascii="Sylfaen" w:hAnsi="Sylfaen"/>
          <w:b/>
          <w:bCs/>
          <w:color w:val="000000"/>
          <w:lang w:val="ka-GE"/>
        </w:rPr>
      </w:pPr>
      <w:r w:rsidRPr="008D31E9">
        <w:rPr>
          <w:rFonts w:ascii="Sylfaen" w:hAnsi="Sylfaen"/>
          <w:b/>
          <w:bCs/>
          <w:color w:val="000000"/>
          <w:lang w:val="ka-GE"/>
        </w:rPr>
        <w:t>აქტივობა</w:t>
      </w:r>
    </w:p>
    <w:p w14:paraId="39963961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საჭიროების შემთხვევაში დაწიეთ საწოლის თავი ქვემოთ;</w:t>
      </w:r>
    </w:p>
    <w:p w14:paraId="53241980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აწარმოეთ მედიკამენტების რეგულარული მიღების მონიტორინგი;</w:t>
      </w:r>
    </w:p>
    <w:p w14:paraId="2AF3267B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აწარმოეთ ანტიეპილეფსიური მედიკამენტების მიღების მიმართ დამყოლობის მონიტორინგი;</w:t>
      </w:r>
    </w:p>
    <w:p w14:paraId="4D181480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ind w:right="180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პაციენტის თავმდგმურმა უნდა აწარმოოს მედიკამენტების მიღების და კრუნჩხვითი აქტივობების განვითარების დღიური;</w:t>
      </w:r>
    </w:p>
    <w:p w14:paraId="2FD747D8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აუხსენით პაციენტის თავმდგმურს მედიკამენტების მოქმედება და მათი გვერდითი ეფექტები;</w:t>
      </w:r>
    </w:p>
    <w:p w14:paraId="70EBFF09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ასწავლეთ პაციენტის ოჯახის წევრებს პირველი დახმარება გულყრის დროს;</w:t>
      </w:r>
    </w:p>
    <w:p w14:paraId="28A3E6BF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 xml:space="preserve">ექიმის მითითებით აწარმოეთ სისხლის პლაზმაში ანტიეპილეფსიური მედიკამენტების დონის მონიტორინგი პროტოკოლის მიხედვით; </w:t>
      </w:r>
    </w:p>
    <w:p w14:paraId="32D7E536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პაციენტის ოთახიდან მოაშორეთ ყველა ნივთი, რომელმაც შეიძლება დააზიანოს პაციენტი;</w:t>
      </w:r>
    </w:p>
    <w:p w14:paraId="1F810875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სასანაციე აპარატი იქონიეთ საწოლთან ახლოს;</w:t>
      </w:r>
    </w:p>
    <w:p w14:paraId="342E410E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ამბუს პარკი (თვითშლადი ტომარა) იქონიეთ საწოლთან ახლოს;</w:t>
      </w:r>
    </w:p>
    <w:p w14:paraId="6D8273AD" w14:textId="77777777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ორალური ან ნაზოფარინგეალური ჰაერგამტარი იქონიეთ საწოლთან ახლოს;</w:t>
      </w:r>
    </w:p>
    <w:p w14:paraId="49E0B9BE" w14:textId="16E520EE" w:rsidR="00E73150" w:rsidRPr="008D31E9" w:rsidRDefault="00E73150" w:rsidP="00E73150">
      <w:pPr>
        <w:pStyle w:val="a4"/>
        <w:numPr>
          <w:ilvl w:val="0"/>
          <w:numId w:val="4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გამოიყენეთ საწოლის თეჯირები აწეულ მდგომარეობაში.</w:t>
      </w:r>
    </w:p>
    <w:p w14:paraId="6F2D1516" w14:textId="77777777" w:rsidR="00E73150" w:rsidRPr="008D31E9" w:rsidRDefault="00E73150" w:rsidP="00E73150">
      <w:pPr>
        <w:spacing w:after="160" w:line="259" w:lineRule="auto"/>
        <w:rPr>
          <w:rFonts w:ascii="Sylfaen" w:hAnsi="Sylfaen"/>
          <w:color w:val="000000"/>
        </w:rPr>
      </w:pPr>
    </w:p>
    <w:p w14:paraId="4D4296D9" w14:textId="77777777" w:rsidR="00E73150" w:rsidRPr="008D31E9" w:rsidRDefault="00E73150" w:rsidP="00E73150">
      <w:pPr>
        <w:rPr>
          <w:rFonts w:ascii="Sylfaen" w:hAnsi="Sylfaen"/>
          <w:b/>
          <w:bCs/>
          <w:color w:val="000000"/>
          <w:lang w:val="ka-GE"/>
        </w:rPr>
      </w:pPr>
      <w:r w:rsidRPr="008D31E9">
        <w:rPr>
          <w:rFonts w:ascii="Sylfaen" w:hAnsi="Sylfaen"/>
          <w:b/>
          <w:bCs/>
          <w:color w:val="000000"/>
          <w:lang w:val="ka-GE"/>
        </w:rPr>
        <w:t>წყარო:</w:t>
      </w:r>
    </w:p>
    <w:p w14:paraId="0EA1E118" w14:textId="77777777" w:rsidR="00E73150" w:rsidRPr="008D31E9" w:rsidRDefault="00E73150" w:rsidP="00E73150">
      <w:pPr>
        <w:pStyle w:val="a4"/>
        <w:numPr>
          <w:ilvl w:val="1"/>
          <w:numId w:val="3"/>
        </w:numPr>
        <w:spacing w:after="160" w:line="259" w:lineRule="auto"/>
        <w:rPr>
          <w:rFonts w:ascii="Sylfaen" w:hAnsi="Sylfaen"/>
          <w:color w:val="000000"/>
        </w:rPr>
      </w:pPr>
      <w:r w:rsidRPr="008D31E9">
        <w:rPr>
          <w:rFonts w:ascii="Sylfaen" w:hAnsi="Sylfaen"/>
          <w:color w:val="000000"/>
        </w:rPr>
        <w:t xml:space="preserve">Ackerman, L.L. (1992). Interventions related to neurological care. In G.M. Bulechek &amp; J.C. McCloskey (Eds.), Symposium on Nursing Interventions. Nursing Clinics of North America, 27(2), 325-346. </w:t>
      </w:r>
    </w:p>
    <w:p w14:paraId="73451C86" w14:textId="77777777" w:rsidR="00E73150" w:rsidRPr="008D31E9" w:rsidRDefault="00E73150" w:rsidP="00E73150">
      <w:pPr>
        <w:pStyle w:val="a4"/>
        <w:numPr>
          <w:ilvl w:val="1"/>
          <w:numId w:val="3"/>
        </w:numPr>
        <w:spacing w:after="160" w:line="259" w:lineRule="auto"/>
        <w:rPr>
          <w:rFonts w:ascii="Sylfaen" w:hAnsi="Sylfaen"/>
          <w:color w:val="000000"/>
        </w:rPr>
      </w:pPr>
      <w:r w:rsidRPr="008D31E9">
        <w:rPr>
          <w:rFonts w:ascii="Sylfaen" w:hAnsi="Sylfaen"/>
          <w:color w:val="000000"/>
        </w:rPr>
        <w:t xml:space="preserve">Brewer, K., &amp; Sperling, M.R. (1988). Neurosurgical treatment of intractible epilepsy. Journal of Neuroscience Nursing, 20(6), 366-372. </w:t>
      </w:r>
    </w:p>
    <w:p w14:paraId="3D643378" w14:textId="77777777" w:rsidR="00E73150" w:rsidRPr="008D31E9" w:rsidRDefault="00E73150" w:rsidP="00E73150">
      <w:pPr>
        <w:pStyle w:val="a4"/>
        <w:numPr>
          <w:ilvl w:val="1"/>
          <w:numId w:val="3"/>
        </w:numPr>
        <w:spacing w:after="160" w:line="259" w:lineRule="auto"/>
        <w:rPr>
          <w:rFonts w:ascii="Sylfaen" w:hAnsi="Sylfaen"/>
          <w:color w:val="000000"/>
        </w:rPr>
      </w:pPr>
      <w:r w:rsidRPr="008D31E9">
        <w:rPr>
          <w:rFonts w:ascii="Sylfaen" w:hAnsi="Sylfaen"/>
          <w:color w:val="000000"/>
        </w:rPr>
        <w:t xml:space="preserve">Cammermeyer, M., &amp; Appledorn, C. (Eds.). (1990). Core curriculum for neuroscience nursing (3rd ed.) (pp. Ig1-Ig3). Chicago: American Association of Neuroscience Nurses. </w:t>
      </w:r>
    </w:p>
    <w:p w14:paraId="481766EC" w14:textId="77777777" w:rsidR="00E73150" w:rsidRPr="008D31E9" w:rsidRDefault="00E73150" w:rsidP="00E73150">
      <w:pPr>
        <w:pStyle w:val="a4"/>
        <w:numPr>
          <w:ilvl w:val="1"/>
          <w:numId w:val="3"/>
        </w:numPr>
        <w:spacing w:after="160" w:line="259" w:lineRule="auto"/>
        <w:rPr>
          <w:rFonts w:ascii="Sylfaen" w:hAnsi="Sylfaen"/>
          <w:color w:val="000000"/>
        </w:rPr>
      </w:pPr>
      <w:r w:rsidRPr="008D31E9">
        <w:rPr>
          <w:rFonts w:ascii="Sylfaen" w:hAnsi="Sylfaen"/>
          <w:color w:val="000000"/>
        </w:rPr>
        <w:lastRenderedPageBreak/>
        <w:t xml:space="preserve">Graham, O., Naveau, I., &amp; Cummings, C. (1989). A model for ambulatory care of patients with epilepsy and other neurological disorders. Journal of Neuroscience Nursing, 21(2), 108-112. </w:t>
      </w:r>
    </w:p>
    <w:p w14:paraId="44D44DE4" w14:textId="77777777" w:rsidR="00E73150" w:rsidRPr="008D31E9" w:rsidRDefault="00E73150" w:rsidP="00E73150">
      <w:pPr>
        <w:pStyle w:val="a4"/>
        <w:numPr>
          <w:ilvl w:val="1"/>
          <w:numId w:val="3"/>
        </w:numPr>
        <w:spacing w:after="160" w:line="259" w:lineRule="auto"/>
        <w:rPr>
          <w:rFonts w:ascii="Sylfaen" w:hAnsi="Sylfaen"/>
          <w:color w:val="000000"/>
        </w:rPr>
      </w:pPr>
      <w:r w:rsidRPr="008D31E9">
        <w:rPr>
          <w:rFonts w:ascii="Sylfaen" w:hAnsi="Sylfaen"/>
          <w:color w:val="000000"/>
        </w:rPr>
        <w:t xml:space="preserve">Johanson, B.C., Wells, S.J., Hoffmeister, D., &amp; Dungca, C.U. (1988). Standards for critical care (3rd ed.). St. Louis: Mosby. </w:t>
      </w:r>
    </w:p>
    <w:p w14:paraId="1FBCFBB9" w14:textId="77777777" w:rsidR="00E73150" w:rsidRPr="008D31E9" w:rsidRDefault="00E73150" w:rsidP="00E73150">
      <w:pPr>
        <w:pStyle w:val="a4"/>
        <w:numPr>
          <w:ilvl w:val="1"/>
          <w:numId w:val="3"/>
        </w:numPr>
        <w:spacing w:after="160" w:line="259" w:lineRule="auto"/>
        <w:rPr>
          <w:rFonts w:ascii="Sylfaen" w:hAnsi="Sylfaen"/>
          <w:color w:val="000000"/>
        </w:rPr>
      </w:pPr>
      <w:r w:rsidRPr="008D31E9">
        <w:rPr>
          <w:rFonts w:ascii="Sylfaen" w:hAnsi="Sylfaen"/>
          <w:color w:val="000000"/>
        </w:rPr>
        <w:t xml:space="preserve">LeMone, P., &amp; Burke, K.M. (2000). Medical-surgical nursing: Critical thinking in client care, (2nd ed.) (pp. 1719-1727). Upper Saddle River, NJ: Prentice Hall Health. </w:t>
      </w:r>
    </w:p>
    <w:p w14:paraId="30119E28" w14:textId="77777777" w:rsidR="00E73150" w:rsidRPr="008D31E9" w:rsidRDefault="00E73150" w:rsidP="00E73150">
      <w:pPr>
        <w:pStyle w:val="a4"/>
        <w:numPr>
          <w:ilvl w:val="1"/>
          <w:numId w:val="3"/>
        </w:numPr>
        <w:spacing w:after="160" w:line="259" w:lineRule="auto"/>
        <w:rPr>
          <w:rFonts w:ascii="Sylfaen" w:hAnsi="Sylfaen"/>
          <w:color w:val="000000"/>
        </w:rPr>
      </w:pPr>
      <w:r w:rsidRPr="00B60EAC">
        <w:rPr>
          <w:rFonts w:ascii="Sylfaen" w:hAnsi="Sylfaen"/>
          <w:color w:val="000000"/>
          <w:lang w:val="fr-BE"/>
        </w:rPr>
        <w:t xml:space="preserve">Santilli, N., &amp; Sierzant, T.L. (1987). </w:t>
      </w:r>
      <w:r w:rsidRPr="008D31E9">
        <w:rPr>
          <w:rFonts w:ascii="Sylfaen" w:hAnsi="Sylfaen"/>
          <w:color w:val="000000"/>
        </w:rPr>
        <w:t xml:space="preserve">Advances in the treatment of epilepsy. Journal of Neuroscience Nursing, 19(3), 141-155. </w:t>
      </w:r>
    </w:p>
    <w:p w14:paraId="2EED35FB" w14:textId="77777777" w:rsidR="00E73150" w:rsidRPr="008D31E9" w:rsidRDefault="00E73150" w:rsidP="00E73150">
      <w:pPr>
        <w:pStyle w:val="a4"/>
        <w:numPr>
          <w:ilvl w:val="0"/>
          <w:numId w:val="3"/>
        </w:numPr>
        <w:spacing w:after="160" w:line="256" w:lineRule="auto"/>
        <w:rPr>
          <w:rFonts w:ascii="Sylfaen" w:hAnsi="Sylfaen"/>
          <w:b/>
          <w:bCs/>
          <w:color w:val="000000"/>
          <w:lang w:val="ka-GE"/>
        </w:rPr>
      </w:pPr>
      <w:r w:rsidRPr="008D31E9">
        <w:rPr>
          <w:rFonts w:ascii="Sylfaen" w:hAnsi="Sylfaen"/>
          <w:b/>
          <w:bCs/>
          <w:color w:val="000000"/>
          <w:lang w:val="ka-GE"/>
        </w:rPr>
        <w:t>Seizure Types and Nursing Management</w:t>
      </w:r>
      <w:r w:rsidRPr="008D31E9">
        <w:rPr>
          <w:rFonts w:ascii="Sylfaen" w:hAnsi="Sylfaen"/>
          <w:color w:val="000000"/>
          <w:lang w:val="ka-GE"/>
        </w:rPr>
        <w:t xml:space="preserve"> </w:t>
      </w:r>
      <w:r w:rsidRPr="008D31E9">
        <w:rPr>
          <w:rFonts w:ascii="Sylfaen" w:hAnsi="Sylfaen"/>
          <w:b/>
          <w:bCs/>
          <w:color w:val="000000"/>
          <w:lang w:val="ka-GE"/>
        </w:rPr>
        <w:t>Published: 02 December 2020</w:t>
      </w:r>
      <w:r w:rsidRPr="008D31E9">
        <w:rPr>
          <w:rFonts w:ascii="Sylfaen" w:hAnsi="Sylfaen"/>
          <w:b/>
          <w:bCs/>
          <w:color w:val="000000"/>
        </w:rPr>
        <w:t>:</w:t>
      </w:r>
    </w:p>
    <w:p w14:paraId="5D3CA2AB" w14:textId="77777777" w:rsidR="00E73150" w:rsidRPr="008D31E9" w:rsidRDefault="00DB4F29" w:rsidP="00E73150">
      <w:pPr>
        <w:pStyle w:val="a4"/>
        <w:spacing w:after="160" w:line="256" w:lineRule="auto"/>
        <w:rPr>
          <w:rFonts w:ascii="Sylfaen" w:hAnsi="Sylfaen"/>
          <w:b/>
          <w:bCs/>
          <w:color w:val="000000"/>
          <w:lang w:val="ka-GE"/>
        </w:rPr>
      </w:pPr>
      <w:hyperlink r:id="rId6" w:history="1">
        <w:r w:rsidR="00E73150" w:rsidRPr="008D31E9">
          <w:rPr>
            <w:rStyle w:val="a5"/>
            <w:rFonts w:ascii="Sylfaen" w:hAnsi="Sylfaen"/>
            <w:color w:val="000000"/>
            <w:lang w:val="ka-GE"/>
          </w:rPr>
          <w:t>https://www.ausmed.com/cpd/articles/what-does-a-seizure-look-like</w:t>
        </w:r>
      </w:hyperlink>
    </w:p>
    <w:p w14:paraId="7A3954B5" w14:textId="77777777" w:rsidR="00E73150" w:rsidRPr="008D31E9" w:rsidRDefault="00E73150" w:rsidP="00E73150">
      <w:pPr>
        <w:pStyle w:val="a4"/>
        <w:numPr>
          <w:ilvl w:val="0"/>
          <w:numId w:val="3"/>
        </w:numPr>
        <w:spacing w:after="160" w:line="256" w:lineRule="auto"/>
        <w:rPr>
          <w:rFonts w:ascii="Sylfaen" w:hAnsi="Sylfaen"/>
          <w:color w:val="000000"/>
          <w:lang w:val="ka-GE"/>
        </w:rPr>
      </w:pPr>
      <w:r w:rsidRPr="008D31E9">
        <w:rPr>
          <w:rFonts w:ascii="Sylfaen" w:hAnsi="Sylfaen"/>
          <w:color w:val="000000"/>
          <w:lang w:val="ka-GE"/>
        </w:rPr>
        <w:t>Epilepsy Overview and Care Published: 30 September 2020</w:t>
      </w:r>
      <w:r w:rsidRPr="008D31E9">
        <w:rPr>
          <w:rFonts w:ascii="Sylfaen" w:hAnsi="Sylfaen"/>
          <w:color w:val="000000"/>
        </w:rPr>
        <w:t>;</w:t>
      </w:r>
    </w:p>
    <w:p w14:paraId="047394C0" w14:textId="77777777" w:rsidR="00E73150" w:rsidRPr="008D31E9" w:rsidRDefault="00DB4F29" w:rsidP="00E73150">
      <w:pPr>
        <w:pStyle w:val="a4"/>
        <w:rPr>
          <w:rFonts w:ascii="Sylfaen" w:hAnsi="Sylfaen"/>
          <w:color w:val="000000"/>
          <w:lang w:val="ka-GE"/>
        </w:rPr>
      </w:pPr>
      <w:hyperlink r:id="rId7" w:history="1">
        <w:r w:rsidR="00E73150" w:rsidRPr="008D31E9">
          <w:rPr>
            <w:rStyle w:val="a5"/>
            <w:rFonts w:ascii="Sylfaen" w:hAnsi="Sylfaen"/>
            <w:color w:val="000000"/>
            <w:lang w:val="ka-GE"/>
          </w:rPr>
          <w:t>https://www.ausmed.com.au/cpd/articles/epilepsy</w:t>
        </w:r>
      </w:hyperlink>
    </w:p>
    <w:p w14:paraId="611E39ED" w14:textId="77777777" w:rsidR="00E73150" w:rsidRPr="008D31E9" w:rsidRDefault="00E73150" w:rsidP="00E73150">
      <w:pPr>
        <w:pStyle w:val="a4"/>
        <w:rPr>
          <w:rFonts w:ascii="Sylfaen" w:hAnsi="Sylfaen"/>
          <w:color w:val="000000"/>
          <w:lang w:val="ka-GE"/>
        </w:rPr>
      </w:pPr>
    </w:p>
    <w:p w14:paraId="5FA1316E" w14:textId="77777777" w:rsidR="00E73150" w:rsidRPr="008D31E9" w:rsidRDefault="00E73150" w:rsidP="00E73150">
      <w:pPr>
        <w:pStyle w:val="a4"/>
        <w:rPr>
          <w:rFonts w:ascii="Sylfaen" w:hAnsi="Sylfaen"/>
          <w:color w:val="000000"/>
          <w:lang w:val="ka-GE"/>
        </w:rPr>
      </w:pPr>
    </w:p>
    <w:p w14:paraId="45F23E39" w14:textId="77777777" w:rsidR="00E73150" w:rsidRPr="008D31E9" w:rsidRDefault="00E73150" w:rsidP="00E73150">
      <w:pPr>
        <w:pStyle w:val="a4"/>
        <w:rPr>
          <w:rFonts w:ascii="Sylfaen" w:hAnsi="Sylfaen"/>
          <w:color w:val="000000"/>
          <w:lang w:val="ka-GE"/>
        </w:rPr>
      </w:pPr>
    </w:p>
    <w:p w14:paraId="7949F4CF" w14:textId="77777777" w:rsidR="00E73150" w:rsidRPr="008D31E9" w:rsidRDefault="00E73150" w:rsidP="00E73150">
      <w:pPr>
        <w:pStyle w:val="a4"/>
        <w:rPr>
          <w:rFonts w:ascii="Sylfaen" w:hAnsi="Sylfaen"/>
          <w:color w:val="000000"/>
          <w:lang w:val="ka-GE"/>
        </w:rPr>
      </w:pPr>
    </w:p>
    <w:p w14:paraId="25419CD1" w14:textId="77777777" w:rsidR="00E73150" w:rsidRPr="008D31E9" w:rsidRDefault="00E73150" w:rsidP="00E73150">
      <w:pPr>
        <w:pStyle w:val="a4"/>
        <w:spacing w:after="160" w:line="360" w:lineRule="auto"/>
        <w:rPr>
          <w:rFonts w:ascii="Sylfaen" w:hAnsi="Sylfaen"/>
          <w:color w:val="000000"/>
          <w:lang w:val="ka-GE"/>
        </w:rPr>
      </w:pPr>
    </w:p>
    <w:p w14:paraId="5FC3160F" w14:textId="77777777" w:rsidR="006C0D63" w:rsidRPr="00B60EAC" w:rsidRDefault="006C0D63">
      <w:pPr>
        <w:rPr>
          <w:lang w:val="ka-GE"/>
        </w:rPr>
      </w:pPr>
    </w:p>
    <w:sectPr w:rsidR="006C0D63" w:rsidRPr="00B60EAC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3340"/>
    <w:multiLevelType w:val="hybridMultilevel"/>
    <w:tmpl w:val="C69616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2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A8C2A87"/>
    <w:multiLevelType w:val="hybridMultilevel"/>
    <w:tmpl w:val="C92C54D0"/>
    <w:lvl w:ilvl="0" w:tplc="B552A14E">
      <w:start w:val="1"/>
      <w:numFmt w:val="decimal"/>
      <w:lvlText w:val="%1."/>
      <w:lvlJc w:val="left"/>
      <w:pPr>
        <w:ind w:left="720" w:hanging="360"/>
      </w:pPr>
      <w:rPr>
        <w:rFonts w:ascii="Sylfaen" w:hAnsi="Sylfaen" w:cs="AcadNusx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330A5"/>
    <w:multiLevelType w:val="hybridMultilevel"/>
    <w:tmpl w:val="E2043C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1D410A"/>
    <w:rsid w:val="002C11D1"/>
    <w:rsid w:val="0035306C"/>
    <w:rsid w:val="003B54C7"/>
    <w:rsid w:val="00486C64"/>
    <w:rsid w:val="00503CDA"/>
    <w:rsid w:val="0058454B"/>
    <w:rsid w:val="00621034"/>
    <w:rsid w:val="00645E0A"/>
    <w:rsid w:val="006C0D63"/>
    <w:rsid w:val="007F2AD2"/>
    <w:rsid w:val="008844AA"/>
    <w:rsid w:val="008D31E9"/>
    <w:rsid w:val="00925D0F"/>
    <w:rsid w:val="00995C68"/>
    <w:rsid w:val="009D1513"/>
    <w:rsid w:val="00A048FA"/>
    <w:rsid w:val="00A77913"/>
    <w:rsid w:val="00A95671"/>
    <w:rsid w:val="00B42C7D"/>
    <w:rsid w:val="00B60EAC"/>
    <w:rsid w:val="00BB7CB3"/>
    <w:rsid w:val="00BE5526"/>
    <w:rsid w:val="00C152BA"/>
    <w:rsid w:val="00C742BE"/>
    <w:rsid w:val="00C80B32"/>
    <w:rsid w:val="00CC35C2"/>
    <w:rsid w:val="00CC76FD"/>
    <w:rsid w:val="00D662DE"/>
    <w:rsid w:val="00DB4F29"/>
    <w:rsid w:val="00E73150"/>
    <w:rsid w:val="00E7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usmed.com.au/cpd/articles/epileps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usmed.com/cpd/articles/what-does-a-seizure-look-lik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11</cp:revision>
  <dcterms:created xsi:type="dcterms:W3CDTF">2024-06-17T23:09:00Z</dcterms:created>
  <dcterms:modified xsi:type="dcterms:W3CDTF">2024-08-02T18:09:00Z</dcterms:modified>
</cp:coreProperties>
</file>